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d84c08c59e34c0a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36991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STARI JANKOVCI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23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VI 2026.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1.842.616,93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2.623.289,32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142,4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1.551.509,85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1.491.776,61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96,1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291.107,08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1.131.512,71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388,7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7.973,19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7.263,57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91,1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536.524,18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1.018.374,40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189,8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528.550,99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1.011.110,83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191,3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120.401,88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VIŠAK PRIHODA/ PRIMITAKA TEKUĆE GODINE IZNOSI  120.401,88 €, A ČINE GA:</w:t>
      </w:r>
    </w:p>
    <w:p>
      <w:r>
        <w:t xml:space="preserve">KOD NADLEŽNOG PRORAČUNA</w:t>
      </w:r>
    </w:p>
    <w:p>
      <w:r>
        <w:t xml:space="preserve">UKUPNI VIŠAK PRIHODA POSLOVANJA TEKUĆE GODINE IZNOSI 99.790,03 €, </w:t>
      </w:r>
    </w:p>
    <w:p>
      <w:r>
        <w:t xml:space="preserve">KOD PRORAČUNSKOG KORISNIKA</w:t>
      </w:r>
    </w:p>
    <w:p>
      <w:r>
        <w:t xml:space="preserve">UKUPAN VIŠAK PRIHODA/ PRIMITAKA TEKUĆE GODINE IZNOSI 20.611,85 €. 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71.098,36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OBVEZA NA KRAJU IZVJEŠTAJNOG RAZDOBLJA SASTOJE SE OD OBVEZA NADLEŽNOG PRORAČUNA U IZNOSU 170.932,80 €, TE OBVEZA PRORAČUNSKOG KORISNIKA U IZNOSU 25.563,77 €. UKUPNO DOSPJELIH OBVEZA JE 71.098,36 € I U CJELOSTI SE ODNOSE NA NADLEŽNI PRORAČUN.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Unutargrupne transakcije koje su u izvještajima eliminirane</w:t>
      </w:r>
    </w:p>
    <w:p>
      <w:r>
        <w:t xml:space="preserve">U IZVJEŠTAJU SU ELIMINIRANE TRANSAKCIJE UNUTAR PODSKUPINE 671 I 367 U IZNOSU 156.066,02 €. BUDUĆI OPĆINA STARI JANKOVCI IMA SAMO JEDNOG PRORAČUNSKOG KORISNIKA, OVA ELIMINACIJA SE U CIJELOSTI ODNOSI NA ISTOGA.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Manjak ili višak u poslovanju grupe i pregled strukture manjka/viška po proračunskim korisnicima </w:t>
      </w:r>
    </w:p>
    <w:p>
      <w:r>
        <w:t xml:space="preserve">VIŠAK PRIHODA POSLOVANJA TEKUĆEG RAZDOBLJA KOD NADLEŽNOG PRORAČUNA IZNOSI 99.790,03 €, A KOD PRORAČUNSKOG KORISNIKA VIŠAK PRIHODA TEKUĆEG RAZDOBLJA U IZNOSU 20.611,85 €.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64e09782a5784573" /></Relationships>
</file>